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6E208">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药剂科静配中心暖通系统整体改造招标调研需求</w:t>
      </w:r>
    </w:p>
    <w:p w14:paraId="4EBA0E9E">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（第二次）</w:t>
      </w:r>
    </w:p>
    <w:p w14:paraId="286BE7EE">
      <w:pPr>
        <w:numPr>
          <w:ilvl w:val="0"/>
          <w:numId w:val="0"/>
        </w:numPr>
        <w:ind w:left="0" w:leftChars="0" w:firstLine="640" w:firstLineChars="200"/>
        <w:rPr>
          <w:rFonts w:hint="default" w:ascii="华文仿宋" w:hAnsi="华文仿宋" w:eastAsia="华文仿宋" w:cs="Times New Roman"/>
          <w:b w:val="0"/>
          <w:bCs w:val="0"/>
          <w:color w:val="auto"/>
          <w:kern w:val="2"/>
          <w:sz w:val="32"/>
          <w:szCs w:val="32"/>
          <w:lang w:val="en-US" w:eastAsia="zh-CN" w:bidi="ar-SA"/>
        </w:rPr>
      </w:pPr>
      <w:r>
        <w:rPr>
          <w:rFonts w:hint="eastAsia" w:ascii="华文仿宋" w:hAnsi="华文仿宋" w:eastAsia="华文仿宋"/>
          <w:b w:val="0"/>
          <w:bCs w:val="0"/>
          <w:sz w:val="32"/>
          <w:szCs w:val="32"/>
          <w:lang w:val="en-US" w:eastAsia="zh-CN"/>
        </w:rPr>
        <w:t>1、</w:t>
      </w:r>
      <w:r>
        <w:rPr>
          <w:rFonts w:hint="eastAsia" w:ascii="华文仿宋" w:hAnsi="华文仿宋" w:eastAsia="华文仿宋"/>
          <w:b w:val="0"/>
          <w:bCs w:val="0"/>
          <w:color w:val="auto"/>
          <w:sz w:val="32"/>
          <w:szCs w:val="32"/>
          <w:lang w:val="en-US" w:eastAsia="zh-CN"/>
        </w:rPr>
        <w:t>拟参与调研的整体改造的施工单位应该到现场（雅安市人民医院第一住院大楼二楼静配中心）仔细查看目前静配中心暖通系统所存在的问题，并列出问题清单</w:t>
      </w:r>
      <w:r>
        <w:rPr>
          <w:rFonts w:hint="eastAsia" w:ascii="华文仿宋" w:hAnsi="华文仿宋" w:eastAsia="华文仿宋" w:cs="Times New Roman"/>
          <w:b w:val="0"/>
          <w:bCs w:val="0"/>
          <w:color w:val="auto"/>
          <w:kern w:val="2"/>
          <w:sz w:val="32"/>
          <w:szCs w:val="32"/>
          <w:lang w:val="en-US" w:eastAsia="zh-CN" w:bidi="ar-SA"/>
        </w:rPr>
        <w:t>及解决方案。</w:t>
      </w:r>
    </w:p>
    <w:p w14:paraId="26E8124D">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cs="Times New Roman"/>
          <w:b w:val="0"/>
          <w:bCs w:val="0"/>
          <w:color w:val="auto"/>
          <w:kern w:val="2"/>
          <w:sz w:val="32"/>
          <w:szCs w:val="32"/>
          <w:lang w:val="en-US" w:eastAsia="zh-CN" w:bidi="ar-SA"/>
        </w:rPr>
        <w:t>2、需完成整个静配中心区内（包括洁净区和非洁净控制区）暖通系统的整体修复与调试工作，重点是使整个洁净区的空调系统的温度、湿度、压差、换气次数等参数</w:t>
      </w:r>
      <w:r>
        <w:rPr>
          <w:rFonts w:hint="eastAsia" w:ascii="华文仿宋" w:hAnsi="华文仿宋" w:eastAsia="华文仿宋"/>
          <w:b w:val="0"/>
          <w:bCs w:val="0"/>
          <w:color w:val="auto"/>
          <w:sz w:val="32"/>
          <w:szCs w:val="32"/>
          <w:lang w:val="en-US" w:eastAsia="zh-CN"/>
        </w:rPr>
        <w:t>指标符合国家标准（见表1），最终由具有ILAC-MRA、CMA或CNAS资质的法定机构出具验收合格的洁净验收报告。</w:t>
      </w:r>
    </w:p>
    <w:p w14:paraId="0FAEF8C4">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并确保在试运行至省级专家正式验收这一期间内能正常运行</w:t>
      </w:r>
      <w:r>
        <w:rPr>
          <w:rFonts w:hint="default" w:ascii="Times New Roman" w:hAnsi="Times New Roman" w:eastAsia="华文仿宋" w:cs="Times New Roman"/>
          <w:b w:val="0"/>
          <w:bCs w:val="0"/>
          <w:color w:val="FF0000"/>
          <w:sz w:val="32"/>
          <w:szCs w:val="32"/>
          <w:lang w:val="en-US" w:eastAsia="zh-CN"/>
        </w:rPr>
        <w:t>（参考其他医院，这一期间可能长达1~2年）</w:t>
      </w:r>
      <w:r>
        <w:rPr>
          <w:rFonts w:hint="eastAsia" w:ascii="华文仿宋" w:hAnsi="华文仿宋" w:eastAsia="华文仿宋"/>
          <w:b w:val="0"/>
          <w:bCs w:val="0"/>
          <w:color w:val="auto"/>
          <w:sz w:val="32"/>
          <w:szCs w:val="32"/>
          <w:lang w:val="en-US" w:eastAsia="zh-CN"/>
        </w:rPr>
        <w:t>。</w:t>
      </w:r>
    </w:p>
    <w:p w14:paraId="5AF0ACDE">
      <w:pPr>
        <w:numPr>
          <w:ilvl w:val="0"/>
          <w:numId w:val="0"/>
        </w:numPr>
        <w:ind w:firstLine="561" w:firstLineChars="200"/>
        <w:rPr>
          <w:rFonts w:hint="default" w:ascii="华文仿宋" w:hAnsi="华文仿宋" w:eastAsia="华文仿宋"/>
          <w:b/>
          <w:bCs/>
          <w:sz w:val="28"/>
          <w:szCs w:val="28"/>
          <w:lang w:val="en-US" w:eastAsia="zh-CN"/>
        </w:rPr>
      </w:pPr>
      <w:r>
        <w:rPr>
          <w:rFonts w:hint="eastAsia" w:ascii="华文仿宋" w:hAnsi="华文仿宋" w:eastAsia="华文仿宋"/>
          <w:b/>
          <w:bCs/>
          <w:sz w:val="28"/>
          <w:szCs w:val="28"/>
          <w:lang w:val="en-US" w:eastAsia="zh-CN"/>
        </w:rPr>
        <w:t>表1静脉用药调配中心洁净环境检测指标及标准（静态）</w:t>
      </w:r>
    </w:p>
    <w:tbl>
      <w:tblPr>
        <w:tblStyle w:val="4"/>
        <w:tblW w:w="10108" w:type="dxa"/>
        <w:tblInd w:w="-7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65"/>
        <w:gridCol w:w="2093"/>
        <w:gridCol w:w="1913"/>
        <w:gridCol w:w="250"/>
        <w:gridCol w:w="1825"/>
        <w:gridCol w:w="1862"/>
      </w:tblGrid>
      <w:tr w14:paraId="75CD2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D15EB45">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洁净级别</w:t>
            </w: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7F817145">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一次更衣室</w:t>
            </w:r>
          </w:p>
        </w:tc>
        <w:tc>
          <w:tcPr>
            <w:tcW w:w="1913" w:type="dxa"/>
            <w:tcBorders>
              <w:top w:val="single" w:color="000000" w:sz="4" w:space="0"/>
              <w:left w:val="single" w:color="000000" w:sz="4" w:space="0"/>
              <w:bottom w:val="single" w:color="000000" w:sz="4" w:space="0"/>
              <w:right w:val="single" w:color="000000" w:sz="4" w:space="0"/>
            </w:tcBorders>
            <w:noWrap w:val="0"/>
            <w:vAlign w:val="center"/>
          </w:tcPr>
          <w:p w14:paraId="202A23E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洗衣洁具间</w:t>
            </w:r>
          </w:p>
        </w:tc>
        <w:tc>
          <w:tcPr>
            <w:tcW w:w="2075" w:type="dxa"/>
            <w:gridSpan w:val="2"/>
            <w:tcBorders>
              <w:top w:val="single" w:color="000000" w:sz="4" w:space="0"/>
              <w:left w:val="single" w:color="000000" w:sz="4" w:space="0"/>
              <w:bottom w:val="single" w:color="000000" w:sz="4" w:space="0"/>
              <w:right w:val="single" w:color="000000" w:sz="4" w:space="0"/>
            </w:tcBorders>
            <w:noWrap w:val="0"/>
            <w:vAlign w:val="center"/>
          </w:tcPr>
          <w:p w14:paraId="1003CA48">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二次更衣室</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4828A27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调配操作间</w:t>
            </w:r>
          </w:p>
        </w:tc>
      </w:tr>
      <w:tr w14:paraId="29B15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CBD643">
            <w:pPr>
              <w:jc w:val="both"/>
              <w:rPr>
                <w:rFonts w:hint="default" w:ascii="Times New Roman" w:hAnsi="Times New Roman" w:eastAsia="华文仿宋" w:cs="Times New Roman"/>
                <w:i w:val="0"/>
                <w:iCs w:val="0"/>
                <w:color w:val="000000"/>
                <w:sz w:val="24"/>
                <w:szCs w:val="24"/>
                <w:u w:val="none"/>
              </w:rPr>
            </w:pPr>
          </w:p>
        </w:tc>
        <w:tc>
          <w:tcPr>
            <w:tcW w:w="4006" w:type="dxa"/>
            <w:gridSpan w:val="2"/>
            <w:tcBorders>
              <w:top w:val="single" w:color="000000" w:sz="4" w:space="0"/>
              <w:left w:val="single" w:color="000000" w:sz="4" w:space="0"/>
              <w:bottom w:val="single" w:color="000000" w:sz="4" w:space="0"/>
              <w:right w:val="single" w:color="000000" w:sz="4" w:space="0"/>
            </w:tcBorders>
            <w:noWrap w:val="0"/>
            <w:vAlign w:val="center"/>
          </w:tcPr>
          <w:p w14:paraId="5EFDC45C">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D(100000)级</w:t>
            </w:r>
          </w:p>
        </w:tc>
        <w:tc>
          <w:tcPr>
            <w:tcW w:w="3937" w:type="dxa"/>
            <w:gridSpan w:val="3"/>
            <w:tcBorders>
              <w:top w:val="single" w:color="000000" w:sz="4" w:space="0"/>
              <w:left w:val="single" w:color="000000" w:sz="4" w:space="0"/>
              <w:bottom w:val="single" w:color="000000" w:sz="4" w:space="0"/>
              <w:right w:val="single" w:color="000000" w:sz="4" w:space="0"/>
            </w:tcBorders>
            <w:noWrap w:val="0"/>
            <w:vAlign w:val="center"/>
          </w:tcPr>
          <w:p w14:paraId="0C2BD2FA">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C(10000)级</w:t>
            </w:r>
          </w:p>
        </w:tc>
      </w:tr>
      <w:tr w14:paraId="38125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B2CFDED">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尘埃粒子</w:t>
            </w: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77989009">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≥0.5μm/立方米</w:t>
            </w:r>
          </w:p>
        </w:tc>
        <w:tc>
          <w:tcPr>
            <w:tcW w:w="1913" w:type="dxa"/>
            <w:tcBorders>
              <w:top w:val="single" w:color="000000" w:sz="4" w:space="0"/>
              <w:left w:val="single" w:color="000000" w:sz="4" w:space="0"/>
              <w:bottom w:val="single" w:color="000000" w:sz="4" w:space="0"/>
              <w:right w:val="single" w:color="000000" w:sz="4" w:space="0"/>
            </w:tcBorders>
            <w:noWrap w:val="0"/>
            <w:vAlign w:val="center"/>
          </w:tcPr>
          <w:p w14:paraId="7BDCCF8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≥5μm/立方米</w:t>
            </w:r>
          </w:p>
        </w:tc>
        <w:tc>
          <w:tcPr>
            <w:tcW w:w="2075" w:type="dxa"/>
            <w:gridSpan w:val="2"/>
            <w:tcBorders>
              <w:top w:val="single" w:color="000000" w:sz="4" w:space="0"/>
              <w:left w:val="single" w:color="000000" w:sz="4" w:space="0"/>
              <w:bottom w:val="single" w:color="000000" w:sz="4" w:space="0"/>
              <w:right w:val="single" w:color="000000" w:sz="4" w:space="0"/>
            </w:tcBorders>
            <w:noWrap w:val="0"/>
            <w:vAlign w:val="center"/>
          </w:tcPr>
          <w:p w14:paraId="7DD8979F">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≥0.5μm/立方米</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2778207D">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≥5μm/立方米</w:t>
            </w:r>
          </w:p>
        </w:tc>
      </w:tr>
      <w:tr w14:paraId="79CA2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46996F">
            <w:pPr>
              <w:jc w:val="both"/>
              <w:rPr>
                <w:rFonts w:hint="default" w:ascii="Times New Roman" w:hAnsi="Times New Roman" w:eastAsia="华文仿宋" w:cs="Times New Roman"/>
                <w:i w:val="0"/>
                <w:iCs w:val="0"/>
                <w:color w:val="000000"/>
                <w:sz w:val="24"/>
                <w:szCs w:val="24"/>
                <w:u w:val="none"/>
              </w:rPr>
            </w:pP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5446DF1E">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≤3500000</w:t>
            </w:r>
          </w:p>
        </w:tc>
        <w:tc>
          <w:tcPr>
            <w:tcW w:w="1913" w:type="dxa"/>
            <w:tcBorders>
              <w:top w:val="single" w:color="000000" w:sz="4" w:space="0"/>
              <w:left w:val="single" w:color="000000" w:sz="4" w:space="0"/>
              <w:bottom w:val="single" w:color="000000" w:sz="4" w:space="0"/>
              <w:right w:val="single" w:color="000000" w:sz="4" w:space="0"/>
            </w:tcBorders>
            <w:noWrap w:val="0"/>
            <w:vAlign w:val="center"/>
          </w:tcPr>
          <w:p w14:paraId="026590DF">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≤20000</w:t>
            </w:r>
          </w:p>
        </w:tc>
        <w:tc>
          <w:tcPr>
            <w:tcW w:w="2075" w:type="dxa"/>
            <w:gridSpan w:val="2"/>
            <w:tcBorders>
              <w:top w:val="single" w:color="000000" w:sz="4" w:space="0"/>
              <w:left w:val="single" w:color="000000" w:sz="4" w:space="0"/>
              <w:bottom w:val="single" w:color="000000" w:sz="4" w:space="0"/>
              <w:right w:val="single" w:color="000000" w:sz="4" w:space="0"/>
            </w:tcBorders>
            <w:noWrap w:val="0"/>
            <w:vAlign w:val="center"/>
          </w:tcPr>
          <w:p w14:paraId="5976D54B">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≤350000</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2E668173">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≤2000</w:t>
            </w:r>
          </w:p>
        </w:tc>
      </w:tr>
      <w:tr w14:paraId="4307D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4033EBC">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细菌测试</w:t>
            </w:r>
          </w:p>
        </w:tc>
        <w:tc>
          <w:tcPr>
            <w:tcW w:w="4256" w:type="dxa"/>
            <w:gridSpan w:val="3"/>
            <w:tcBorders>
              <w:top w:val="single" w:color="000000" w:sz="4" w:space="0"/>
              <w:left w:val="single" w:color="000000" w:sz="4" w:space="0"/>
              <w:bottom w:val="single" w:color="000000" w:sz="4" w:space="0"/>
              <w:right w:val="single" w:color="000000" w:sz="4" w:space="0"/>
            </w:tcBorders>
            <w:noWrap w:val="0"/>
            <w:vAlign w:val="center"/>
          </w:tcPr>
          <w:p w14:paraId="0CD71017">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沉降菌</w:t>
            </w:r>
          </w:p>
        </w:tc>
        <w:tc>
          <w:tcPr>
            <w:tcW w:w="3687" w:type="dxa"/>
            <w:gridSpan w:val="2"/>
            <w:tcBorders>
              <w:top w:val="single" w:color="000000" w:sz="4" w:space="0"/>
              <w:left w:val="single" w:color="000000" w:sz="4" w:space="0"/>
              <w:bottom w:val="single" w:color="000000" w:sz="4" w:space="0"/>
              <w:right w:val="single" w:color="000000" w:sz="4" w:space="0"/>
            </w:tcBorders>
            <w:noWrap w:val="0"/>
            <w:vAlign w:val="center"/>
          </w:tcPr>
          <w:p w14:paraId="0BAB7EF8">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沉降菌</w:t>
            </w:r>
          </w:p>
        </w:tc>
      </w:tr>
      <w:tr w14:paraId="4B72F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CF71D3">
            <w:pPr>
              <w:jc w:val="both"/>
              <w:rPr>
                <w:rFonts w:hint="default" w:ascii="Times New Roman" w:hAnsi="Times New Roman" w:eastAsia="华文仿宋" w:cs="Times New Roman"/>
                <w:i w:val="0"/>
                <w:iCs w:val="0"/>
                <w:color w:val="000000"/>
                <w:sz w:val="24"/>
                <w:szCs w:val="24"/>
                <w:u w:val="none"/>
              </w:rPr>
            </w:pPr>
          </w:p>
        </w:tc>
        <w:tc>
          <w:tcPr>
            <w:tcW w:w="4256" w:type="dxa"/>
            <w:gridSpan w:val="3"/>
            <w:tcBorders>
              <w:top w:val="single" w:color="000000" w:sz="4" w:space="0"/>
              <w:left w:val="single" w:color="000000" w:sz="4" w:space="0"/>
              <w:bottom w:val="single" w:color="000000" w:sz="4" w:space="0"/>
              <w:right w:val="single" w:color="000000" w:sz="4" w:space="0"/>
            </w:tcBorders>
            <w:noWrap w:val="0"/>
            <w:vAlign w:val="center"/>
          </w:tcPr>
          <w:p w14:paraId="53A48876">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≤10cfu/皿.0.5h</w:t>
            </w:r>
          </w:p>
        </w:tc>
        <w:tc>
          <w:tcPr>
            <w:tcW w:w="3687" w:type="dxa"/>
            <w:gridSpan w:val="2"/>
            <w:tcBorders>
              <w:top w:val="single" w:color="000000" w:sz="4" w:space="0"/>
              <w:left w:val="single" w:color="000000" w:sz="4" w:space="0"/>
              <w:bottom w:val="single" w:color="000000" w:sz="4" w:space="0"/>
              <w:right w:val="single" w:color="000000" w:sz="4" w:space="0"/>
            </w:tcBorders>
            <w:noWrap w:val="0"/>
            <w:vAlign w:val="center"/>
          </w:tcPr>
          <w:p w14:paraId="28060166">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≤3/cfu/皿.0.5h</w:t>
            </w:r>
          </w:p>
        </w:tc>
      </w:tr>
      <w:tr w14:paraId="353DA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B89AB3D">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换气次数</w:t>
            </w:r>
          </w:p>
        </w:tc>
        <w:tc>
          <w:tcPr>
            <w:tcW w:w="4256" w:type="dxa"/>
            <w:gridSpan w:val="3"/>
            <w:tcBorders>
              <w:top w:val="single" w:color="000000" w:sz="4" w:space="0"/>
              <w:left w:val="single" w:color="000000" w:sz="4" w:space="0"/>
              <w:bottom w:val="single" w:color="000000" w:sz="4" w:space="0"/>
              <w:right w:val="single" w:color="000000" w:sz="4" w:space="0"/>
            </w:tcBorders>
            <w:noWrap w:val="0"/>
            <w:vAlign w:val="center"/>
          </w:tcPr>
          <w:p w14:paraId="4AB317CB">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≥15次/小时</w:t>
            </w:r>
          </w:p>
        </w:tc>
        <w:tc>
          <w:tcPr>
            <w:tcW w:w="3687" w:type="dxa"/>
            <w:gridSpan w:val="2"/>
            <w:tcBorders>
              <w:top w:val="single" w:color="000000" w:sz="4" w:space="0"/>
              <w:left w:val="single" w:color="000000" w:sz="4" w:space="0"/>
              <w:bottom w:val="single" w:color="000000" w:sz="4" w:space="0"/>
              <w:right w:val="single" w:color="000000" w:sz="4" w:space="0"/>
            </w:tcBorders>
            <w:noWrap w:val="0"/>
            <w:vAlign w:val="center"/>
          </w:tcPr>
          <w:p w14:paraId="2EEEC429">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≥25次/小时</w:t>
            </w:r>
          </w:p>
        </w:tc>
      </w:tr>
      <w:tr w14:paraId="3D7D4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4B0EE914">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静压差</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6AEC81D7">
            <w:pPr>
              <w:keepNext w:val="0"/>
              <w:keepLines w:val="0"/>
              <w:widowControl/>
              <w:suppressLineNumbers w:val="0"/>
              <w:ind w:firstLine="480" w:firstLineChars="2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非洁净控制区&lt;一次更衣室&lt;二次更衣室&lt;电解质类等普通输液和肠外营养液调配操作间</w:t>
            </w:r>
            <w:r>
              <w:rPr>
                <w:rStyle w:val="6"/>
                <w:rFonts w:hint="default" w:ascii="Times New Roman" w:hAnsi="Times New Roman" w:eastAsia="华文仿宋" w:cs="Times New Roman"/>
                <w:sz w:val="24"/>
                <w:szCs w:val="24"/>
                <w:lang w:val="en-US" w:eastAsia="zh-CN" w:bidi="ar"/>
              </w:rPr>
              <w:br w:type="textWrapping"/>
            </w:r>
            <w:r>
              <w:rPr>
                <w:rStyle w:val="6"/>
                <w:rFonts w:hint="eastAsia" w:ascii="Times New Roman" w:hAnsi="Times New Roman" w:eastAsia="华文仿宋" w:cs="Times New Roman"/>
                <w:sz w:val="24"/>
                <w:szCs w:val="24"/>
                <w:lang w:val="en-US" w:eastAsia="zh-CN" w:bidi="ar"/>
              </w:rPr>
              <w:t xml:space="preserve">   </w:t>
            </w:r>
            <w:r>
              <w:rPr>
                <w:rStyle w:val="6"/>
                <w:rFonts w:hint="default" w:ascii="Times New Roman" w:hAnsi="Times New Roman" w:eastAsia="华文仿宋" w:cs="Times New Roman"/>
                <w:sz w:val="24"/>
                <w:szCs w:val="24"/>
                <w:lang w:val="en-US" w:eastAsia="zh-CN" w:bidi="ar"/>
              </w:rPr>
              <w:t>非洁净控制区&lt;一次更衣室&lt;二次更衣室&gt;抗生素和危害药品调配操</w:t>
            </w:r>
            <w:r>
              <w:rPr>
                <w:rStyle w:val="6"/>
                <w:rFonts w:hint="default" w:ascii="Times New Roman" w:hAnsi="Times New Roman" w:eastAsia="华文仿宋" w:cs="Times New Roman"/>
                <w:sz w:val="24"/>
                <w:szCs w:val="24"/>
                <w:lang w:val="en-US" w:eastAsia="zh-CN" w:bidi="ar"/>
              </w:rPr>
              <w:br w:type="textWrapping"/>
            </w:r>
            <w:r>
              <w:rPr>
                <w:rStyle w:val="6"/>
                <w:rFonts w:hint="default" w:ascii="Times New Roman" w:hAnsi="Times New Roman" w:eastAsia="华文仿宋" w:cs="Times New Roman"/>
                <w:sz w:val="24"/>
                <w:szCs w:val="24"/>
                <w:lang w:val="en-US" w:eastAsia="zh-CN" w:bidi="ar"/>
              </w:rPr>
              <w:t>作间(洁净区相邻区域压差5～10Pa,一次更衣室与非洁净控制区之间压</w:t>
            </w:r>
            <w:r>
              <w:rPr>
                <w:rStyle w:val="6"/>
                <w:rFonts w:hint="default" w:ascii="Times New Roman" w:hAnsi="Times New Roman" w:eastAsia="华文仿宋" w:cs="Times New Roman"/>
                <w:sz w:val="24"/>
                <w:szCs w:val="24"/>
                <w:lang w:val="en-US" w:eastAsia="zh-CN" w:bidi="ar"/>
              </w:rPr>
              <w:br w:type="textWrapping"/>
            </w:r>
            <w:r>
              <w:rPr>
                <w:rStyle w:val="7"/>
                <w:rFonts w:hint="default" w:ascii="Times New Roman" w:hAnsi="Times New Roman" w:eastAsia="华文仿宋" w:cs="Times New Roman"/>
                <w:sz w:val="24"/>
                <w:szCs w:val="24"/>
                <w:lang w:val="en-US" w:eastAsia="zh-CN" w:bidi="ar"/>
              </w:rPr>
              <w:br w:type="textWrapping"/>
            </w:r>
            <w:r>
              <w:rPr>
                <w:rStyle w:val="6"/>
                <w:rFonts w:hint="default" w:ascii="Times New Roman" w:hAnsi="Times New Roman" w:eastAsia="华文仿宋" w:cs="Times New Roman"/>
                <w:sz w:val="24"/>
                <w:szCs w:val="24"/>
                <w:lang w:val="en-US" w:eastAsia="zh-CN" w:bidi="ar"/>
              </w:rPr>
              <w:t>差≥10Pa)</w:t>
            </w:r>
          </w:p>
        </w:tc>
      </w:tr>
      <w:tr w14:paraId="472D5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27EA112F">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温度</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3B9DE9B4">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18℃~26℃</w:t>
            </w:r>
          </w:p>
        </w:tc>
      </w:tr>
      <w:tr w14:paraId="58D91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858A5D7">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相对湿度</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7962DD26">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35%-75%</w:t>
            </w:r>
          </w:p>
        </w:tc>
      </w:tr>
      <w:tr w14:paraId="101EB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31997E74">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环境噪音</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78B317BB">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≤60dB</w:t>
            </w:r>
          </w:p>
        </w:tc>
      </w:tr>
      <w:tr w14:paraId="22ABA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663781D">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设备噪音</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4AE50712">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生物安全柜≤67dB    水平层流洁净台≤65dB</w:t>
            </w:r>
          </w:p>
        </w:tc>
      </w:tr>
      <w:tr w14:paraId="769EA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7BD29B68">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工作区域亮度</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11DAF07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≥300 Lx</w:t>
            </w:r>
          </w:p>
        </w:tc>
      </w:tr>
      <w:tr w14:paraId="66AB8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D44B741">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抗生素调配</w:t>
            </w:r>
            <w:r>
              <w:rPr>
                <w:rStyle w:val="6"/>
                <w:rFonts w:hint="eastAsia" w:ascii="Times New Roman" w:hAnsi="Times New Roman" w:eastAsia="华文仿宋" w:cs="Times New Roman"/>
                <w:sz w:val="24"/>
                <w:szCs w:val="24"/>
                <w:lang w:val="en-US" w:eastAsia="zh-CN" w:bidi="ar"/>
              </w:rPr>
              <w:t>间</w:t>
            </w:r>
            <w:r>
              <w:rPr>
                <w:rStyle w:val="6"/>
                <w:rFonts w:hint="default" w:ascii="Times New Roman" w:hAnsi="Times New Roman" w:eastAsia="华文仿宋" w:cs="Times New Roman"/>
                <w:sz w:val="24"/>
                <w:szCs w:val="24"/>
                <w:lang w:val="en-US" w:eastAsia="zh-CN" w:bidi="ar"/>
              </w:rPr>
              <w:t>排风量</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5A94E8E2">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根据抗生素间的设计规模确定</w:t>
            </w:r>
          </w:p>
        </w:tc>
      </w:tr>
    </w:tbl>
    <w:p w14:paraId="5328DBB0">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cs="Times New Roman"/>
          <w:b w:val="0"/>
          <w:bCs w:val="0"/>
          <w:kern w:val="2"/>
          <w:sz w:val="32"/>
          <w:szCs w:val="32"/>
          <w:lang w:val="en-US" w:eastAsia="zh-CN" w:bidi="ar-SA"/>
        </w:rPr>
        <w:t>3、</w:t>
      </w:r>
      <w:r>
        <w:rPr>
          <w:rFonts w:hint="eastAsia" w:ascii="华文仿宋" w:hAnsi="华文仿宋" w:eastAsia="华文仿宋"/>
          <w:b w:val="0"/>
          <w:bCs w:val="0"/>
          <w:sz w:val="32"/>
          <w:szCs w:val="32"/>
          <w:lang w:val="en-US" w:eastAsia="zh-CN"/>
        </w:rPr>
        <w:t>完成两台空调机组的自动控制系统的改造与调试工作，使得空调机组的工作和暖通系统能够实现联动运行，最大程度的实现节能运行的要求。</w:t>
      </w:r>
    </w:p>
    <w:p w14:paraId="18F072AF">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cs="Times New Roman"/>
          <w:b w:val="0"/>
          <w:bCs w:val="0"/>
          <w:color w:val="auto"/>
          <w:kern w:val="2"/>
          <w:sz w:val="32"/>
          <w:szCs w:val="32"/>
          <w:lang w:val="en-US" w:eastAsia="zh-CN" w:bidi="ar-SA"/>
        </w:rPr>
        <w:t>4、</w:t>
      </w:r>
      <w:r>
        <w:rPr>
          <w:rFonts w:hint="eastAsia" w:ascii="华文仿宋" w:hAnsi="华文仿宋" w:eastAsia="华文仿宋"/>
          <w:b w:val="0"/>
          <w:bCs w:val="0"/>
          <w:color w:val="auto"/>
          <w:sz w:val="32"/>
          <w:szCs w:val="32"/>
          <w:lang w:val="en-US" w:eastAsia="zh-CN"/>
        </w:rPr>
        <w:t>完成两台空调机组的升级改造与调试作业，以确保空调机组能够提供适当的风量和制冷量，从而维持指定净化区域的温度、湿度和净化等级。改造工程</w:t>
      </w:r>
      <w:r>
        <w:rPr>
          <w:rFonts w:hint="eastAsia" w:ascii="Times New Roman" w:hAnsi="Times New Roman" w:eastAsia="华文仿宋" w:cs="Times New Roman"/>
          <w:b/>
          <w:bCs/>
          <w:color w:val="FF0000"/>
          <w:sz w:val="32"/>
          <w:szCs w:val="32"/>
          <w:lang w:val="en-US" w:eastAsia="zh-CN"/>
        </w:rPr>
        <w:t>包括但不限于</w:t>
      </w:r>
      <w:r>
        <w:rPr>
          <w:rFonts w:hint="eastAsia" w:ascii="华文仿宋" w:hAnsi="华文仿宋" w:eastAsia="华文仿宋"/>
          <w:b w:val="0"/>
          <w:bCs w:val="0"/>
          <w:color w:val="auto"/>
          <w:sz w:val="32"/>
          <w:szCs w:val="32"/>
          <w:lang w:val="en-US" w:eastAsia="zh-CN"/>
        </w:rPr>
        <w:t>以下方面：①在机组总送风管道增设手动调节阀和防火阀；②在新风管道中增设手动调节阀、电动控制阀及过滤网；③增加新风预热段和电加热组件等。</w:t>
      </w:r>
    </w:p>
    <w:p w14:paraId="5F08818B">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所有改造工作均需根据实际状况进行，以确保空调机组能够满足运行需求。</w:t>
      </w:r>
    </w:p>
    <w:p w14:paraId="0BFFCC46">
      <w:pPr>
        <w:numPr>
          <w:ilvl w:val="0"/>
          <w:numId w:val="0"/>
        </w:numPr>
        <w:ind w:left="0" w:leftChars="0" w:firstLine="640" w:firstLineChars="200"/>
        <w:rPr>
          <w:rFonts w:hint="default" w:ascii="华文仿宋" w:hAnsi="华文仿宋" w:eastAsia="华文仿宋" w:cs="Times New Roman"/>
          <w:b w:val="0"/>
          <w:bCs w:val="0"/>
          <w:color w:val="auto"/>
          <w:kern w:val="2"/>
          <w:sz w:val="32"/>
          <w:szCs w:val="32"/>
          <w:lang w:val="en-US" w:eastAsia="zh-CN" w:bidi="ar-SA"/>
        </w:rPr>
      </w:pPr>
      <w:r>
        <w:rPr>
          <w:rFonts w:hint="eastAsia" w:ascii="华文仿宋" w:hAnsi="华文仿宋" w:eastAsia="华文仿宋" w:cs="Times New Roman"/>
          <w:b w:val="0"/>
          <w:bCs w:val="0"/>
          <w:color w:val="auto"/>
          <w:kern w:val="2"/>
          <w:sz w:val="32"/>
          <w:szCs w:val="32"/>
          <w:lang w:val="en-US" w:eastAsia="zh-CN" w:bidi="ar-SA"/>
        </w:rPr>
        <w:t>5、对空调系统的冷热源外机及其附属水管网进行详尽的评估和检查，以确保整个系统能够满足对应空调区域的温度和湿度调节需求，</w:t>
      </w:r>
      <w:r>
        <w:rPr>
          <w:rFonts w:hint="eastAsia" w:ascii="华文仿宋" w:hAnsi="华文仿宋" w:eastAsia="华文仿宋"/>
          <w:b/>
          <w:bCs/>
          <w:color w:val="FF0000"/>
          <w:sz w:val="32"/>
          <w:szCs w:val="32"/>
          <w:lang w:val="en-US" w:eastAsia="zh-CN"/>
        </w:rPr>
        <w:t>包括但不限于</w:t>
      </w:r>
      <w:r>
        <w:rPr>
          <w:rFonts w:hint="eastAsia" w:ascii="华文仿宋" w:hAnsi="华文仿宋" w:eastAsia="华文仿宋" w:cs="Times New Roman"/>
          <w:b w:val="0"/>
          <w:bCs w:val="0"/>
          <w:color w:val="auto"/>
          <w:kern w:val="2"/>
          <w:sz w:val="32"/>
          <w:szCs w:val="32"/>
          <w:lang w:val="en-US" w:eastAsia="zh-CN" w:bidi="ar-SA"/>
        </w:rPr>
        <w:t>对设备性能、管路布局、流量控制和能源效率</w:t>
      </w:r>
      <w:r>
        <w:rPr>
          <w:rFonts w:hint="eastAsia" w:ascii="华文仿宋" w:hAnsi="华文仿宋" w:eastAsia="华文仿宋"/>
          <w:b w:val="0"/>
          <w:bCs w:val="0"/>
          <w:color w:val="auto"/>
          <w:sz w:val="32"/>
          <w:szCs w:val="32"/>
          <w:lang w:val="en-US" w:eastAsia="zh-CN"/>
        </w:rPr>
        <w:t>以及整体现有施工工程质量</w:t>
      </w:r>
      <w:r>
        <w:rPr>
          <w:rFonts w:hint="eastAsia" w:ascii="华文仿宋" w:hAnsi="华文仿宋" w:eastAsia="华文仿宋" w:cs="Times New Roman"/>
          <w:b w:val="0"/>
          <w:bCs w:val="0"/>
          <w:color w:val="auto"/>
          <w:kern w:val="2"/>
          <w:sz w:val="32"/>
          <w:szCs w:val="32"/>
          <w:lang w:val="en-US" w:eastAsia="zh-CN" w:bidi="ar-SA"/>
        </w:rPr>
        <w:t>等方面的综合考量。</w:t>
      </w:r>
    </w:p>
    <w:p w14:paraId="3B437364">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6、完成</w:t>
      </w:r>
      <w:r>
        <w:rPr>
          <w:rFonts w:hint="eastAsia" w:ascii="华文仿宋" w:hAnsi="华文仿宋" w:eastAsia="华文仿宋"/>
          <w:b w:val="0"/>
          <w:bCs w:val="0"/>
          <w:color w:val="auto"/>
          <w:sz w:val="32"/>
          <w:szCs w:val="32"/>
          <w:lang w:val="en-US" w:eastAsia="zh-CN"/>
        </w:rPr>
        <w:t>暖通系统送风、回风和排风等部件、管道及风口位置的检查与改造，使</w:t>
      </w:r>
      <w:r>
        <w:rPr>
          <w:rFonts w:hint="eastAsia" w:ascii="华文仿宋" w:hAnsi="华文仿宋" w:eastAsia="华文仿宋"/>
          <w:b w:val="0"/>
          <w:bCs w:val="0"/>
          <w:sz w:val="32"/>
          <w:szCs w:val="32"/>
          <w:lang w:val="en-US" w:eastAsia="zh-CN"/>
        </w:rPr>
        <w:t>之符合《四川省静脉用药调配中心验收评价及检查评价标准》（试行）的验收要求，并能够满足洁净区域的正常运行要求。</w:t>
      </w:r>
    </w:p>
    <w:p w14:paraId="01EE7B2C">
      <w:pPr>
        <w:numPr>
          <w:ilvl w:val="0"/>
          <w:numId w:val="0"/>
        </w:numPr>
        <w:ind w:firstLine="640" w:firstLineChars="200"/>
        <w:rPr>
          <w:rFonts w:hint="eastAsia" w:ascii="华文仿宋" w:hAnsi="华文仿宋" w:eastAsia="华文仿宋" w:cs="Times New Roman"/>
          <w:b w:val="0"/>
          <w:bCs w:val="0"/>
          <w:color w:val="auto"/>
          <w:kern w:val="2"/>
          <w:sz w:val="32"/>
          <w:szCs w:val="32"/>
          <w:lang w:val="en-US" w:eastAsia="zh-CN" w:bidi="ar-SA"/>
        </w:rPr>
      </w:pPr>
      <w:r>
        <w:rPr>
          <w:rFonts w:hint="eastAsia" w:ascii="华文仿宋" w:hAnsi="华文仿宋" w:eastAsia="华文仿宋" w:cs="Times New Roman"/>
          <w:b w:val="0"/>
          <w:bCs w:val="0"/>
          <w:color w:val="auto"/>
          <w:kern w:val="2"/>
          <w:sz w:val="32"/>
          <w:szCs w:val="32"/>
          <w:lang w:val="en-US" w:eastAsia="zh-CN" w:bidi="ar-SA"/>
        </w:rPr>
        <w:t>7、完成静配中心内部自控系统的全面升级改造，以实现对洁净控制区域内温度、湿度和压差等环境参数的自动调节和智能控制。</w:t>
      </w:r>
      <w:r>
        <w:rPr>
          <w:rFonts w:hint="eastAsia" w:ascii="华文仿宋" w:hAnsi="华文仿宋" w:eastAsia="华文仿宋"/>
          <w:b/>
          <w:bCs/>
          <w:color w:val="FF0000"/>
          <w:sz w:val="32"/>
          <w:szCs w:val="32"/>
          <w:lang w:val="en-US" w:eastAsia="zh-CN"/>
        </w:rPr>
        <w:t>在静配中心内部增设专业且标准的集中操作平台</w:t>
      </w:r>
      <w:r>
        <w:rPr>
          <w:rFonts w:hint="eastAsia" w:ascii="华文仿宋" w:hAnsi="华文仿宋" w:eastAsia="华文仿宋"/>
          <w:b w:val="0"/>
          <w:bCs w:val="0"/>
          <w:color w:val="FF0000"/>
          <w:sz w:val="32"/>
          <w:szCs w:val="32"/>
          <w:lang w:val="en-US" w:eastAsia="zh-CN"/>
        </w:rPr>
        <w:t>，</w:t>
      </w:r>
      <w:r>
        <w:rPr>
          <w:rFonts w:hint="eastAsia" w:ascii="华文仿宋" w:hAnsi="华文仿宋" w:eastAsia="华文仿宋" w:cs="Times New Roman"/>
          <w:b w:val="0"/>
          <w:bCs w:val="0"/>
          <w:color w:val="auto"/>
          <w:kern w:val="2"/>
          <w:sz w:val="32"/>
          <w:szCs w:val="32"/>
          <w:lang w:val="en-US" w:eastAsia="zh-CN" w:bidi="ar-SA"/>
        </w:rPr>
        <w:t>以便对净化空调机组及室外机组执行远程的开关和监控操作。同时，安装大型显示屏，用于集中实时显示关键环境参数，包括温度、湿度和压差等信息。</w:t>
      </w:r>
    </w:p>
    <w:p w14:paraId="1EEE65B9">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8、过渡季能平稳运行，确保温湿度正常。</w:t>
      </w:r>
    </w:p>
    <w:p w14:paraId="190F53A4">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9、制冷季湿度控制在60%内，极端天气不超过70%（年累计天数不超过10天）。</w:t>
      </w:r>
    </w:p>
    <w:p w14:paraId="3A47DF62">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10、整个净化区的风冷热泵机组，水泵、层流风柜、环境压力等应实现云平台应用、环境部署数字化、综合监控系统数字化</w:t>
      </w:r>
      <w:r>
        <w:rPr>
          <w:rFonts w:hint="eastAsia" w:ascii="华文仿宋" w:hAnsi="华文仿宋" w:eastAsia="华文仿宋"/>
          <w:b w:val="0"/>
          <w:bCs w:val="0"/>
          <w:color w:val="auto"/>
          <w:sz w:val="32"/>
          <w:szCs w:val="32"/>
          <w:lang w:val="en-US" w:eastAsia="zh-CN"/>
        </w:rPr>
        <w:t>、建立适应静配中心建设新标准和指南要求的能耗管理系统、参数记录电子台账管理系统、数字化数据预警、报警系统、数字化巡检管理系统、数字化维修、保养管理系统等，包括且不限于此范围（由参与调研和招标方完成）并能通过省级专家正式验收。</w:t>
      </w:r>
    </w:p>
    <w:p w14:paraId="520E7E6E">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11、状态监测：系统健康状态辅助检测功能实时监测系统内部参数，设备故障、过滤网脏堵、风量不足、湿度超标等异常实现在线平台、小程序、短信、邮件的多维度报警预警。</w:t>
      </w:r>
    </w:p>
    <w:p w14:paraId="5171264D">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12、数字化台账：</w:t>
      </w:r>
      <w:r>
        <w:rPr>
          <w:rFonts w:hint="eastAsia" w:ascii="华文仿宋" w:hAnsi="华文仿宋" w:eastAsia="华文仿宋"/>
          <w:b w:val="0"/>
          <w:bCs w:val="0"/>
          <w:color w:val="auto"/>
          <w:sz w:val="32"/>
          <w:szCs w:val="32"/>
          <w:lang w:val="en-US" w:eastAsia="zh-CN"/>
        </w:rPr>
        <w:t>设备台账、运行数据台账、检测记录、保养台账、维修台账、巡检台账等等全面实现数字化、可视化、云管理平台。层流空调的实时数据实现包括web端、移动端、小程序多端口管理。</w:t>
      </w:r>
    </w:p>
    <w:p w14:paraId="50BABB2D">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13、数字化巡检管理系统根据巡检的需要，根据日常巡检的内容和频次，在系统内部预设好巡检的内容、频次、标准。按照日程自动生成巡检工单，巡检人员按照巡检的目录和检查标准，逐个完成巡检工作，并填报好巡检记录及结论，填报的巡检记录经由医院主管领导审核确认，形成巡检工作的闭环管理。</w:t>
      </w:r>
    </w:p>
    <w:p w14:paraId="6BD381C9">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14、</w:t>
      </w:r>
      <w:r>
        <w:rPr>
          <w:rFonts w:hint="eastAsia" w:ascii="华文仿宋" w:hAnsi="华文仿宋" w:eastAsia="华文仿宋"/>
          <w:b w:val="0"/>
          <w:bCs w:val="0"/>
          <w:color w:val="auto"/>
          <w:sz w:val="32"/>
          <w:szCs w:val="32"/>
          <w:lang w:val="en-US" w:eastAsia="zh-CN"/>
        </w:rPr>
        <w:t>能实施</w:t>
      </w:r>
      <w:r>
        <w:rPr>
          <w:rFonts w:hint="eastAsia" w:ascii="华文仿宋" w:hAnsi="华文仿宋" w:eastAsia="华文仿宋"/>
          <w:b w:val="0"/>
          <w:bCs w:val="0"/>
          <w:sz w:val="32"/>
          <w:szCs w:val="32"/>
          <w:lang w:val="en-US" w:eastAsia="zh-CN"/>
        </w:rPr>
        <w:t>维修保养系统根据巡检、报修、保养计划生成的电子工单，由维保单位进行维修保养工作，并将维修的服务单通过上传至维修保养系统形成电子档案记录，</w:t>
      </w:r>
      <w:r>
        <w:rPr>
          <w:rFonts w:hint="eastAsia" w:ascii="华文仿宋" w:hAnsi="华文仿宋" w:eastAsia="华文仿宋"/>
          <w:b w:val="0"/>
          <w:bCs w:val="0"/>
          <w:color w:val="auto"/>
          <w:sz w:val="32"/>
          <w:szCs w:val="32"/>
          <w:lang w:val="en-US" w:eastAsia="zh-CN"/>
        </w:rPr>
        <w:t>该记录至少保存半年及以上，以备查看。</w:t>
      </w:r>
    </w:p>
    <w:p w14:paraId="335793F2">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15、完成所有传送门及洁净控制区域的门扇密封工作，以确保各个区域的洁净级别和压力梯度等参数满足相关指导文件的规定标准以确保稳定性。</w:t>
      </w:r>
    </w:p>
    <w:p w14:paraId="5B68B52D">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16、根据调试和静配中心整体及局部的环境检测的需要，完成</w:t>
      </w:r>
      <w:r>
        <w:rPr>
          <w:rFonts w:hint="eastAsia" w:ascii="华文仿宋" w:hAnsi="华文仿宋" w:eastAsia="华文仿宋"/>
          <w:b/>
          <w:bCs/>
          <w:color w:val="FF0000"/>
          <w:sz w:val="32"/>
          <w:szCs w:val="32"/>
          <w:lang w:val="en-US" w:eastAsia="zh-CN"/>
        </w:rPr>
        <w:t>重点包括送风管、回风管和新风管清洁</w:t>
      </w:r>
      <w:r>
        <w:rPr>
          <w:rFonts w:hint="eastAsia" w:ascii="华文仿宋" w:hAnsi="华文仿宋" w:eastAsia="华文仿宋"/>
          <w:b w:val="0"/>
          <w:bCs w:val="0"/>
          <w:color w:val="auto"/>
          <w:sz w:val="32"/>
          <w:szCs w:val="32"/>
          <w:lang w:val="en-US" w:eastAsia="zh-CN"/>
        </w:rPr>
        <w:t>等在内的整个静配中心</w:t>
      </w:r>
      <w:r>
        <w:rPr>
          <w:rFonts w:hint="eastAsia" w:ascii="华文仿宋" w:hAnsi="华文仿宋" w:eastAsia="华文仿宋"/>
          <w:b w:val="0"/>
          <w:bCs w:val="0"/>
          <w:color w:val="FF0000"/>
          <w:sz w:val="32"/>
          <w:szCs w:val="32"/>
          <w:lang w:val="en-US" w:eastAsia="zh-CN"/>
        </w:rPr>
        <w:t>（</w:t>
      </w:r>
      <w:r>
        <w:rPr>
          <w:rFonts w:hint="eastAsia" w:ascii="华文仿宋" w:hAnsi="华文仿宋" w:eastAsia="华文仿宋"/>
          <w:b/>
          <w:bCs/>
          <w:color w:val="FF0000"/>
          <w:sz w:val="32"/>
          <w:szCs w:val="32"/>
          <w:lang w:val="en-US" w:eastAsia="zh-CN"/>
        </w:rPr>
        <w:t>包括洁净区、非洁净控制区和辅助工作区</w:t>
      </w:r>
      <w:r>
        <w:rPr>
          <w:rFonts w:hint="eastAsia" w:ascii="华文仿宋" w:hAnsi="华文仿宋" w:eastAsia="华文仿宋"/>
          <w:b w:val="0"/>
          <w:bCs w:val="0"/>
          <w:color w:val="FF0000"/>
          <w:sz w:val="32"/>
          <w:szCs w:val="32"/>
          <w:lang w:val="en-US" w:eastAsia="zh-CN"/>
        </w:rPr>
        <w:t>）</w:t>
      </w:r>
      <w:r>
        <w:rPr>
          <w:rFonts w:hint="eastAsia" w:ascii="华文仿宋" w:hAnsi="华文仿宋" w:eastAsia="华文仿宋"/>
          <w:b w:val="0"/>
          <w:bCs w:val="0"/>
          <w:color w:val="auto"/>
          <w:sz w:val="32"/>
          <w:szCs w:val="32"/>
          <w:lang w:val="en-US" w:eastAsia="zh-CN"/>
        </w:rPr>
        <w:t>的深度清洁，确保静配中心能够通过有资质的第三方环境检测。</w:t>
      </w:r>
    </w:p>
    <w:p w14:paraId="694FAA15">
      <w:pPr>
        <w:numPr>
          <w:ilvl w:val="0"/>
          <w:numId w:val="0"/>
        </w:numPr>
        <w:ind w:firstLine="640" w:firstLineChars="200"/>
        <w:rPr>
          <w:rFonts w:hint="default" w:ascii="华文仿宋" w:hAnsi="华文仿宋" w:eastAsia="华文仿宋"/>
          <w:b w:val="0"/>
          <w:bCs w:val="0"/>
          <w:color w:val="FF0000"/>
          <w:sz w:val="32"/>
          <w:szCs w:val="32"/>
          <w:lang w:val="en-US" w:eastAsia="zh-CN"/>
        </w:rPr>
      </w:pPr>
      <w:r>
        <w:rPr>
          <w:rFonts w:hint="eastAsia" w:ascii="华文仿宋" w:hAnsi="华文仿宋" w:eastAsia="华文仿宋"/>
          <w:b w:val="0"/>
          <w:bCs w:val="0"/>
          <w:color w:val="000000" w:themeColor="text1"/>
          <w:sz w:val="32"/>
          <w:szCs w:val="32"/>
          <w:lang w:val="en-US" w:eastAsia="zh-CN"/>
          <w14:textFill>
            <w14:solidFill>
              <w14:schemeClr w14:val="tx1"/>
            </w14:solidFill>
          </w14:textFill>
        </w:rPr>
        <w:t>17、完成静配中心</w:t>
      </w:r>
      <w:r>
        <w:rPr>
          <w:rFonts w:hint="eastAsia" w:ascii="华文仿宋" w:hAnsi="华文仿宋" w:eastAsia="华文仿宋"/>
          <w:b/>
          <w:bCs/>
          <w:color w:val="FF0000"/>
          <w:sz w:val="32"/>
          <w:szCs w:val="32"/>
          <w:lang w:val="en-US" w:eastAsia="zh-CN"/>
        </w:rPr>
        <w:t>普通清洗间暖通系统</w:t>
      </w:r>
      <w:r>
        <w:rPr>
          <w:rFonts w:hint="eastAsia" w:ascii="华文仿宋" w:hAnsi="华文仿宋" w:eastAsia="华文仿宋"/>
          <w:b w:val="0"/>
          <w:bCs w:val="0"/>
          <w:color w:val="000000" w:themeColor="text1"/>
          <w:sz w:val="32"/>
          <w:szCs w:val="32"/>
          <w:lang w:val="en-US" w:eastAsia="zh-CN"/>
          <w14:textFill>
            <w14:solidFill>
              <w14:schemeClr w14:val="tx1"/>
            </w14:solidFill>
          </w14:textFill>
        </w:rPr>
        <w:t>的改造，使该区域内的温度、湿度能得到良好的控制，确保在高频率开展清洗工作的条件下温、湿度维持在适宜的范围内，可能涉及设备添置和电路改造。</w:t>
      </w:r>
    </w:p>
    <w:p w14:paraId="093E33C9">
      <w:pPr>
        <w:numPr>
          <w:ilvl w:val="0"/>
          <w:numId w:val="0"/>
        </w:numPr>
        <w:ind w:left="0" w:leftChars="0" w:firstLine="640" w:firstLineChars="200"/>
        <w:rPr>
          <w:rFonts w:hint="default"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18、针对静配中心内部的电路系统进行必要的升级改造，以满足中心内所有需电力供应的设施与设备的需求，并保障其稳定供电。特别关注暖通空调系统的电路改造工作。此外，必须严格按照施工规范执行，确保施工质量，避免出现电线裸露等安全隐患。</w:t>
      </w:r>
    </w:p>
    <w:p w14:paraId="70FDB89B">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19、完成静配中心内部消防系统的改造工程，确保改造后的系统既能通过消防安全验收，也能满足静配中心洁净控制区域的特定要求。</w:t>
      </w:r>
    </w:p>
    <w:p w14:paraId="28994568">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在洁净控制区域内，应依照相关法规和标准，将消防喷淋系统和烟雾传感器改为隐蔽式安装。同时，应在洁净控制区域内增设嵌入式的强制排烟口。对于与墙体连接的相关设施设备，必须确保无缝对接。</w:t>
      </w:r>
    </w:p>
    <w:p w14:paraId="1A588322">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在非洁净控制区域，应严格按照消防安全规范增设紧急疏散指示标识和强制排烟系统等必要设施。</w:t>
      </w:r>
    </w:p>
    <w:p w14:paraId="69EB42FC">
      <w:pPr>
        <w:numPr>
          <w:ilvl w:val="0"/>
          <w:numId w:val="0"/>
        </w:numPr>
        <w:ind w:left="0" w:leftChars="0" w:firstLine="640" w:firstLineChars="200"/>
        <w:rPr>
          <w:rFonts w:hint="eastAsia" w:ascii="华文仿宋" w:hAnsi="华文仿宋" w:eastAsia="华文仿宋"/>
          <w:b w:val="0"/>
          <w:bCs w:val="0"/>
          <w:color w:val="FF0000"/>
          <w:sz w:val="32"/>
          <w:szCs w:val="32"/>
          <w:lang w:val="en-US" w:eastAsia="zh-CN"/>
        </w:rPr>
      </w:pPr>
      <w:r>
        <w:rPr>
          <w:rFonts w:hint="eastAsia" w:ascii="华文仿宋" w:hAnsi="华文仿宋" w:eastAsia="华文仿宋"/>
          <w:b w:val="0"/>
          <w:bCs w:val="0"/>
          <w:color w:val="auto"/>
          <w:sz w:val="32"/>
          <w:szCs w:val="32"/>
          <w:lang w:val="en-US" w:eastAsia="zh-CN"/>
        </w:rPr>
        <w:t>以上参与调研单位有关消防改造施工及达到验收要求是否单独招标请联系总务科、保卫科确定。</w:t>
      </w:r>
    </w:p>
    <w:p w14:paraId="5532BE21">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20、在洁净控制区域内，对插座、无线接入点（AP）、压差传感器等设备进行隐蔽式改造或改为与所在墙面齐平，以便于在洁净区域内顺利实施清洁和消毒作业。</w:t>
      </w:r>
    </w:p>
    <w:p w14:paraId="1FFECDC7">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21、增加压差表控制箱及对应的自控系统，以实现压差的自动调节。增加压差表，实现各区域压差的集中显示。</w:t>
      </w:r>
    </w:p>
    <w:p w14:paraId="27CC1555">
      <w:pPr>
        <w:numPr>
          <w:ilvl w:val="0"/>
          <w:numId w:val="0"/>
        </w:numPr>
        <w:ind w:firstLine="640" w:firstLineChars="200"/>
        <w:rPr>
          <w:rFonts w:hint="eastAsia" w:ascii="华文仿宋" w:hAnsi="华文仿宋" w:eastAsia="华文仿宋"/>
          <w:b w:val="0"/>
          <w:bCs w:val="0"/>
          <w:color w:val="FF0000"/>
          <w:sz w:val="32"/>
          <w:szCs w:val="32"/>
          <w:lang w:val="en-US" w:eastAsia="zh-CN"/>
        </w:rPr>
      </w:pPr>
      <w:r>
        <w:rPr>
          <w:rFonts w:hint="eastAsia" w:ascii="华文仿宋" w:hAnsi="华文仿宋" w:eastAsia="华文仿宋"/>
          <w:b w:val="0"/>
          <w:bCs w:val="0"/>
          <w:color w:val="auto"/>
          <w:sz w:val="32"/>
          <w:szCs w:val="32"/>
          <w:lang w:val="en-US" w:eastAsia="zh-CN"/>
        </w:rPr>
        <w:t>22、完成</w:t>
      </w:r>
      <w:r>
        <w:rPr>
          <w:rFonts w:hint="eastAsia" w:ascii="华文仿宋" w:hAnsi="华文仿宋" w:eastAsia="华文仿宋"/>
          <w:b/>
          <w:bCs/>
          <w:color w:val="FF0000"/>
          <w:sz w:val="32"/>
          <w:szCs w:val="32"/>
          <w:lang w:val="en-US" w:eastAsia="zh-CN"/>
        </w:rPr>
        <w:t>非洁净控制区</w:t>
      </w:r>
      <w:r>
        <w:rPr>
          <w:rFonts w:hint="eastAsia" w:ascii="华文仿宋" w:hAnsi="华文仿宋" w:eastAsia="华文仿宋"/>
          <w:b w:val="0"/>
          <w:bCs w:val="0"/>
          <w:color w:val="auto"/>
          <w:sz w:val="32"/>
          <w:szCs w:val="32"/>
          <w:lang w:val="en-US" w:eastAsia="zh-CN"/>
        </w:rPr>
        <w:t>暖通系统的改造，确保该区域在大楼空调系统停用期间，仍能保持适宜的温度和湿度。</w:t>
      </w:r>
    </w:p>
    <w:p w14:paraId="27D7095E">
      <w:pPr>
        <w:numPr>
          <w:ilvl w:val="0"/>
          <w:numId w:val="0"/>
        </w:numPr>
        <w:ind w:left="0" w:leftChars="0"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23、增加静配中心内的紧急电源和备用电源，确保突发停电时静配中心内的暖通系统和调配操作间能够继续运行。</w:t>
      </w:r>
    </w:p>
    <w:p w14:paraId="098BA35F">
      <w:pPr>
        <w:numPr>
          <w:ilvl w:val="0"/>
          <w:numId w:val="0"/>
        </w:numPr>
        <w:ind w:left="0" w:leftChars="0" w:firstLine="640" w:firstLineChars="200"/>
        <w:rPr>
          <w:rFonts w:hint="default"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24、在缓冲脱包区及成品发放区做适宜高度的门槛，防止静配中心外小车进入静配中心内。根据现场查看情况，设置污物暂存空间、处方或者医嘱暂存间或工勤人员休息空间。</w:t>
      </w:r>
    </w:p>
    <w:p w14:paraId="07DF041A">
      <w:pPr>
        <w:numPr>
          <w:ilvl w:val="0"/>
          <w:numId w:val="0"/>
        </w:numPr>
        <w:ind w:firstLine="640" w:firstLineChars="200"/>
        <w:rPr>
          <w:rFonts w:hint="default" w:ascii="华文仿宋" w:hAnsi="华文仿宋" w:eastAsia="华文仿宋"/>
          <w:b w:val="0"/>
          <w:bCs w:val="0"/>
          <w:color w:val="FF0000"/>
          <w:sz w:val="32"/>
          <w:szCs w:val="32"/>
          <w:lang w:val="en-US" w:eastAsia="zh-CN"/>
        </w:rPr>
      </w:pPr>
      <w:r>
        <w:rPr>
          <w:rFonts w:hint="eastAsia" w:ascii="华文仿宋" w:hAnsi="华文仿宋" w:eastAsia="华文仿宋"/>
          <w:b w:val="0"/>
          <w:bCs w:val="0"/>
          <w:color w:val="auto"/>
          <w:sz w:val="32"/>
          <w:szCs w:val="32"/>
          <w:lang w:val="en-US" w:eastAsia="zh-CN"/>
        </w:rPr>
        <w:t xml:space="preserve">25、改造调试工作完成后，负责请有资质的第三方检测机构对洁净区的洁净度、噪音、静压差、温度、相对湿度及工作区域照明度等进行检测，检测结果应达到《四川省静脉用药调配中心验收评价及检查评价标准》（试行）规定的标准并出具检测报告。  </w:t>
      </w:r>
      <w:r>
        <w:rPr>
          <w:rFonts w:hint="eastAsia" w:ascii="华文仿宋" w:hAnsi="华文仿宋" w:eastAsia="华文仿宋"/>
          <w:b w:val="0"/>
          <w:bCs w:val="0"/>
          <w:color w:val="FF0000"/>
          <w:sz w:val="32"/>
          <w:szCs w:val="32"/>
          <w:lang w:val="en-US" w:eastAsia="zh-CN"/>
        </w:rPr>
        <w:t xml:space="preserve">                                                                                                                                                                                                                                                                                                                                                            </w:t>
      </w:r>
    </w:p>
    <w:p w14:paraId="4EBAC881">
      <w:pPr>
        <w:numPr>
          <w:ilvl w:val="0"/>
          <w:numId w:val="0"/>
        </w:numPr>
        <w:ind w:firstLine="640" w:firstLineChars="200"/>
        <w:rPr>
          <w:rFonts w:hint="eastAsia" w:ascii="华文仿宋" w:hAnsi="华文仿宋" w:eastAsia="华文仿宋"/>
          <w:b w:val="0"/>
          <w:bCs w:val="0"/>
          <w:color w:val="FF0000"/>
          <w:sz w:val="32"/>
          <w:szCs w:val="32"/>
          <w:lang w:val="en-US" w:eastAsia="zh-CN"/>
        </w:rPr>
      </w:pPr>
      <w:r>
        <w:rPr>
          <w:rFonts w:hint="eastAsia" w:ascii="华文仿宋" w:hAnsi="华文仿宋" w:eastAsia="华文仿宋"/>
          <w:b w:val="0"/>
          <w:bCs w:val="0"/>
          <w:sz w:val="32"/>
          <w:szCs w:val="32"/>
          <w:lang w:val="en-US" w:eastAsia="zh-CN"/>
        </w:rPr>
        <w:t>26、</w:t>
      </w:r>
      <w:r>
        <w:rPr>
          <w:rFonts w:hint="eastAsia" w:ascii="华文仿宋" w:hAnsi="华文仿宋" w:eastAsia="华文仿宋"/>
          <w:b w:val="0"/>
          <w:bCs w:val="0"/>
          <w:color w:val="auto"/>
          <w:sz w:val="32"/>
          <w:szCs w:val="32"/>
          <w:lang w:val="en-US" w:eastAsia="zh-CN"/>
        </w:rPr>
        <w:t>除上述重点内容外，其他可能影响静配中心整体验收结果的，均在本次整体改造施工方现场调研的范围以内</w:t>
      </w:r>
      <w:r>
        <w:rPr>
          <w:rFonts w:hint="eastAsia" w:ascii="华文仿宋" w:hAnsi="华文仿宋" w:eastAsia="华文仿宋"/>
          <w:b w:val="0"/>
          <w:bCs w:val="0"/>
          <w:color w:val="FF0000"/>
          <w:sz w:val="32"/>
          <w:szCs w:val="32"/>
          <w:lang w:val="en-US" w:eastAsia="zh-CN"/>
        </w:rPr>
        <w:t>（</w:t>
      </w:r>
      <w:r>
        <w:rPr>
          <w:rFonts w:hint="eastAsia" w:ascii="华文仿宋" w:hAnsi="华文仿宋" w:eastAsia="华文仿宋"/>
          <w:b/>
          <w:bCs/>
          <w:color w:val="FF0000"/>
          <w:sz w:val="32"/>
          <w:szCs w:val="32"/>
          <w:lang w:val="en-US" w:eastAsia="zh-CN"/>
        </w:rPr>
        <w:t>保证招标施工后不能出现漏项，不完整项，应将不确定因素项纳入本次调研范围，调研和招标内容均达到此项要求</w:t>
      </w:r>
      <w:r>
        <w:rPr>
          <w:rFonts w:hint="eastAsia" w:ascii="华文仿宋" w:hAnsi="华文仿宋" w:eastAsia="华文仿宋"/>
          <w:b w:val="0"/>
          <w:bCs w:val="0"/>
          <w:color w:val="FF0000"/>
          <w:sz w:val="32"/>
          <w:szCs w:val="32"/>
          <w:lang w:val="en-US" w:eastAsia="zh-CN"/>
        </w:rPr>
        <w:t>）。</w:t>
      </w:r>
    </w:p>
    <w:p w14:paraId="36C8FB4D">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27、涉及本次修复改造的所有设施设备工程均提供质保服务，为期2年。</w:t>
      </w:r>
    </w:p>
    <w:p w14:paraId="22230510">
      <w:pPr>
        <w:numPr>
          <w:ilvl w:val="0"/>
          <w:numId w:val="0"/>
        </w:numPr>
        <w:ind w:firstLine="640" w:firstLineChars="200"/>
        <w:rPr>
          <w:rFonts w:hint="default"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28、</w:t>
      </w:r>
      <w:r>
        <w:rPr>
          <w:rFonts w:hint="eastAsia" w:ascii="华文仿宋" w:hAnsi="华文仿宋" w:eastAsia="华文仿宋"/>
          <w:b/>
          <w:bCs/>
          <w:color w:val="FF0000"/>
          <w:sz w:val="32"/>
          <w:szCs w:val="32"/>
          <w:lang w:val="en-US" w:eastAsia="zh-CN"/>
        </w:rPr>
        <w:t>专家验收后提出的整改问题属于本次调研施工范围内的由中标方负责整改。</w:t>
      </w:r>
    </w:p>
    <w:p w14:paraId="1A429AE1">
      <w:pPr>
        <w:numPr>
          <w:ilvl w:val="0"/>
          <w:numId w:val="0"/>
        </w:numPr>
        <w:ind w:firstLine="640" w:firstLineChars="200"/>
        <w:rPr>
          <w:rFonts w:hint="eastAsia" w:ascii="华文仿宋" w:hAnsi="华文仿宋" w:eastAsia="华文仿宋"/>
          <w:b w:val="0"/>
          <w:bCs w:val="0"/>
          <w:color w:val="000000"/>
          <w:sz w:val="32"/>
          <w:szCs w:val="32"/>
          <w:lang w:val="en-US" w:eastAsia="zh-CN"/>
        </w:rPr>
      </w:pPr>
      <w:r>
        <w:rPr>
          <w:rFonts w:hint="eastAsia" w:ascii="华文仿宋" w:hAnsi="华文仿宋" w:eastAsia="华文仿宋"/>
          <w:b w:val="0"/>
          <w:bCs w:val="0"/>
          <w:sz w:val="32"/>
          <w:szCs w:val="32"/>
          <w:lang w:val="en-US" w:eastAsia="zh-CN"/>
        </w:rPr>
        <w:t>29、参与调研的暖通整体改造的施工方在近3年内至少有2家静配中心整体建设或静配中心暖通系统建设的经验（提供已通过省级专家验收的证明材料）。根据《四川省静脉用药调配中心验收评价及检查评价标准》（试行）的验收要求，</w:t>
      </w:r>
      <w:r>
        <w:rPr>
          <w:rFonts w:hint="eastAsia" w:ascii="华文仿宋" w:hAnsi="华文仿宋" w:eastAsia="华文仿宋"/>
          <w:b w:val="0"/>
          <w:bCs w:val="0"/>
          <w:color w:val="000000"/>
          <w:sz w:val="32"/>
          <w:szCs w:val="32"/>
          <w:lang w:val="en-US" w:eastAsia="zh-CN"/>
        </w:rPr>
        <w:t>设计与施工企业应有相关部门核发的经营许可证，且装修施工企业应具有建筑装修装饰工程专业承包二级及以上资质，并应具有机电安装工程专业承包三级及以上资质，具有安全生产许可证。</w:t>
      </w:r>
    </w:p>
    <w:p w14:paraId="25A41925">
      <w:pPr>
        <w:numPr>
          <w:ilvl w:val="0"/>
          <w:numId w:val="0"/>
        </w:numPr>
        <w:ind w:firstLine="640" w:firstLineChars="200"/>
        <w:rPr>
          <w:rFonts w:hint="eastAsia" w:ascii="华文仿宋" w:hAnsi="华文仿宋" w:eastAsia="华文仿宋"/>
          <w:b w:val="0"/>
          <w:bCs w:val="0"/>
          <w:color w:val="000000"/>
          <w:sz w:val="32"/>
          <w:szCs w:val="32"/>
          <w:lang w:val="en-US" w:eastAsia="zh-CN"/>
        </w:rPr>
      </w:pPr>
      <w:r>
        <w:rPr>
          <w:rFonts w:hint="eastAsia" w:ascii="华文仿宋" w:hAnsi="华文仿宋" w:eastAsia="华文仿宋"/>
          <w:b w:val="0"/>
          <w:bCs w:val="0"/>
          <w:color w:val="000000"/>
          <w:sz w:val="32"/>
          <w:szCs w:val="32"/>
          <w:lang w:val="en-US" w:eastAsia="zh-CN"/>
        </w:rPr>
        <w:t>设计与装修施工企业项目负责人及主要技术人员应经静脉用药调配中心建设规范培训，熟悉静脉用药集中调配工作流程与技术操作规范相关规定。并按照要求提供经营许可证、安全生产许可证及</w:t>
      </w:r>
      <w:r>
        <w:rPr>
          <w:rFonts w:hint="eastAsia" w:ascii="华文仿宋" w:hAnsi="华文仿宋" w:eastAsia="华文仿宋"/>
          <w:b/>
          <w:bCs/>
          <w:color w:val="FF0000"/>
          <w:sz w:val="32"/>
          <w:szCs w:val="32"/>
          <w:lang w:val="en-US" w:eastAsia="zh-CN"/>
        </w:rPr>
        <w:t>相关培训记录</w:t>
      </w:r>
      <w:r>
        <w:rPr>
          <w:rFonts w:hint="eastAsia" w:ascii="华文仿宋" w:hAnsi="华文仿宋" w:eastAsia="华文仿宋"/>
          <w:b w:val="0"/>
          <w:bCs w:val="0"/>
          <w:color w:val="000000"/>
          <w:sz w:val="32"/>
          <w:szCs w:val="32"/>
          <w:lang w:val="en-US" w:eastAsia="zh-CN"/>
        </w:rPr>
        <w:t>。</w:t>
      </w:r>
    </w:p>
    <w:p w14:paraId="602A1513">
      <w:pPr>
        <w:numPr>
          <w:ilvl w:val="0"/>
          <w:numId w:val="1"/>
        </w:numPr>
        <w:ind w:firstLine="640" w:firstLineChars="200"/>
        <w:rPr>
          <w:rFonts w:hint="eastAsia" w:ascii="华文仿宋" w:hAnsi="华文仿宋" w:eastAsia="华文仿宋"/>
          <w:b/>
          <w:bCs/>
          <w:color w:val="FF0000"/>
          <w:sz w:val="32"/>
          <w:szCs w:val="32"/>
          <w:lang w:val="en-US" w:eastAsia="zh-CN"/>
        </w:rPr>
      </w:pPr>
      <w:r>
        <w:rPr>
          <w:rFonts w:hint="eastAsia" w:ascii="华文仿宋" w:hAnsi="华文仿宋" w:eastAsia="华文仿宋"/>
          <w:b w:val="0"/>
          <w:bCs w:val="0"/>
          <w:color w:val="000000"/>
          <w:sz w:val="32"/>
          <w:szCs w:val="32"/>
          <w:lang w:val="en-US" w:eastAsia="zh-CN"/>
        </w:rPr>
        <w:t>本次整体改造涉及到平面图的完善和有资质出具图纸的设计单位的签章，调研单位确保通过省级静配中心专家的审校并签章。</w:t>
      </w:r>
      <w:r>
        <w:rPr>
          <w:rFonts w:hint="eastAsia" w:ascii="华文仿宋" w:hAnsi="华文仿宋" w:eastAsia="华文仿宋"/>
          <w:b/>
          <w:bCs/>
          <w:color w:val="FF0000"/>
          <w:sz w:val="32"/>
          <w:szCs w:val="32"/>
          <w:lang w:val="en-US" w:eastAsia="zh-CN"/>
        </w:rPr>
        <w:t>作为整体改造调研单位，应合法合规提供符合《四川省静脉用药调配中心验收评价及检查评价标准》（试行）要求的所有图纸。</w:t>
      </w:r>
    </w:p>
    <w:p w14:paraId="4D0983BA">
      <w:pPr>
        <w:numPr>
          <w:numId w:val="0"/>
        </w:numPr>
        <w:rPr>
          <w:rFonts w:hint="default" w:ascii="华文仿宋" w:hAnsi="华文仿宋" w:eastAsia="华文仿宋"/>
          <w:b/>
          <w:bCs/>
          <w:color w:val="FF0000"/>
          <w:sz w:val="32"/>
          <w:szCs w:val="32"/>
          <w:lang w:val="en-US" w:eastAsia="zh-CN"/>
        </w:rPr>
      </w:pPr>
      <w:r>
        <w:rPr>
          <w:rFonts w:hint="eastAsia" w:ascii="华文仿宋" w:hAnsi="华文仿宋" w:eastAsia="华文仿宋"/>
          <w:b/>
          <w:bCs/>
          <w:color w:val="FF0000"/>
          <w:sz w:val="32"/>
          <w:szCs w:val="32"/>
          <w:lang w:val="en-US" w:eastAsia="zh-CN"/>
        </w:rPr>
        <w:t xml:space="preserve">    </w:t>
      </w:r>
      <w:r>
        <w:rPr>
          <w:rFonts w:hint="eastAsia" w:ascii="华文仿宋" w:hAnsi="华文仿宋" w:eastAsia="华文仿宋"/>
          <w:b w:val="0"/>
          <w:bCs w:val="0"/>
          <w:color w:val="auto"/>
          <w:sz w:val="32"/>
          <w:szCs w:val="32"/>
          <w:lang w:val="en-US" w:eastAsia="zh-CN"/>
        </w:rPr>
        <w:t>以上参与调研单位有关平面图等图纸的完善与签章是否单独招标</w:t>
      </w:r>
      <w:bookmarkStart w:id="0" w:name="_GoBack"/>
      <w:bookmarkEnd w:id="0"/>
      <w:r>
        <w:rPr>
          <w:rFonts w:hint="eastAsia" w:ascii="华文仿宋" w:hAnsi="华文仿宋" w:eastAsia="华文仿宋"/>
          <w:b w:val="0"/>
          <w:bCs w:val="0"/>
          <w:color w:val="auto"/>
          <w:sz w:val="32"/>
          <w:szCs w:val="32"/>
          <w:lang w:val="en-US" w:eastAsia="zh-CN"/>
        </w:rPr>
        <w:t>，请联系总务科确定。</w:t>
      </w:r>
    </w:p>
    <w:p w14:paraId="3F562468">
      <w:pPr>
        <w:numPr>
          <w:ilvl w:val="0"/>
          <w:numId w:val="0"/>
        </w:numPr>
        <w:ind w:firstLine="640" w:firstLineChars="200"/>
        <w:rPr>
          <w:rFonts w:hint="eastAsia" w:ascii="华文仿宋" w:hAnsi="华文仿宋" w:eastAsia="华文仿宋"/>
          <w:sz w:val="32"/>
          <w:szCs w:val="32"/>
          <w:lang w:val="en-US" w:eastAsia="zh-CN"/>
        </w:rPr>
      </w:pPr>
      <w:r>
        <w:rPr>
          <w:rFonts w:hint="eastAsia" w:ascii="华文仿宋" w:hAnsi="华文仿宋" w:eastAsia="华文仿宋"/>
          <w:sz w:val="32"/>
          <w:szCs w:val="32"/>
          <w:lang w:val="en-US" w:eastAsia="zh-CN"/>
        </w:rPr>
        <w:t xml:space="preserve">                           药剂科</w:t>
      </w:r>
    </w:p>
    <w:p w14:paraId="6E783EBF">
      <w:pPr>
        <w:numPr>
          <w:ilvl w:val="0"/>
          <w:numId w:val="0"/>
        </w:numPr>
        <w:ind w:firstLine="640" w:firstLineChars="200"/>
        <w:rPr>
          <w:rFonts w:hint="default" w:ascii="华文仿宋" w:hAnsi="华文仿宋" w:eastAsia="华文仿宋"/>
          <w:b w:val="0"/>
          <w:bCs w:val="0"/>
          <w:color w:val="000000"/>
          <w:sz w:val="32"/>
          <w:szCs w:val="32"/>
          <w:lang w:val="en-US" w:eastAsia="zh-CN"/>
        </w:rPr>
      </w:pPr>
      <w:r>
        <w:rPr>
          <w:rFonts w:hint="eastAsia" w:ascii="华文仿宋" w:hAnsi="华文仿宋" w:eastAsia="华文仿宋"/>
          <w:sz w:val="32"/>
          <w:szCs w:val="32"/>
          <w:lang w:val="en-US" w:eastAsia="zh-CN"/>
        </w:rPr>
        <w:t xml:space="preserve">                      2024年10月08日</w:t>
      </w:r>
      <w:r>
        <w:rPr>
          <w:rFonts w:hint="eastAsia" w:eastAsia="仿宋_GB2312"/>
          <w:sz w:val="32"/>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4D889E"/>
    <w:multiLevelType w:val="singleLevel"/>
    <w:tmpl w:val="694D889E"/>
    <w:lvl w:ilvl="0" w:tentative="0">
      <w:start w:val="30"/>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