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雅安市人民医院</w:t>
      </w:r>
    </w:p>
    <w:p>
      <w:pPr>
        <w:jc w:val="center"/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综合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6"/>
          <w:szCs w:val="36"/>
        </w:rPr>
        <w:t>运营管理项目调研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需求</w:t>
      </w:r>
    </w:p>
    <w:p>
      <w:pPr>
        <w:spacing w:line="360" w:lineRule="auto"/>
        <w:ind w:firstLine="480" w:firstLineChars="200"/>
        <w:rPr>
          <w:rFonts w:ascii="黑体" w:hAnsi="黑体" w:eastAsia="黑体"/>
        </w:rPr>
      </w:pPr>
      <w:r>
        <w:rPr>
          <w:rFonts w:hint="eastAsia" w:ascii="宋体" w:hAnsi="宋体" w:eastAsia="宋体"/>
          <w:sz w:val="24"/>
        </w:rPr>
        <w:t>按照《公立医院运营管理的指导意见》、《关于推动公立医院</w:t>
      </w:r>
      <w:r>
        <w:rPr>
          <w:rFonts w:hint="eastAsia" w:ascii="宋体" w:hAnsi="宋体" w:eastAsia="宋体"/>
          <w:sz w:val="24"/>
          <w:szCs w:val="24"/>
        </w:rPr>
        <w:t>高质量发展的意见》、《公立医院内部控制办法》、《公立医院成本核算指导手册》以及《</w:t>
      </w:r>
      <w:r>
        <w:rPr>
          <w:rFonts w:hint="eastAsia" w:ascii="宋体" w:hAnsi="宋体" w:eastAsia="宋体"/>
          <w:sz w:val="24"/>
        </w:rPr>
        <w:t>医院智慧管理分级评估标准体系</w:t>
      </w:r>
      <w:r>
        <w:rPr>
          <w:rFonts w:hint="eastAsia" w:ascii="宋体" w:hAnsi="宋体" w:eastAsia="宋体"/>
          <w:sz w:val="24"/>
          <w:szCs w:val="24"/>
        </w:rPr>
        <w:t>》、《</w:t>
      </w:r>
      <w:r>
        <w:rPr>
          <w:rFonts w:hint="eastAsia" w:ascii="宋体" w:hAnsi="宋体" w:eastAsia="宋体"/>
          <w:sz w:val="24"/>
        </w:rPr>
        <w:t>公立医院运营管理信息化功能指引</w:t>
      </w:r>
      <w:r>
        <w:rPr>
          <w:rFonts w:hint="eastAsia" w:ascii="宋体" w:hAnsi="宋体" w:eastAsia="宋体"/>
          <w:sz w:val="24"/>
          <w:szCs w:val="24"/>
        </w:rPr>
        <w:t>》等政策规范要求，</w:t>
      </w:r>
      <w:r>
        <w:rPr>
          <w:rFonts w:hint="eastAsia" w:ascii="宋体" w:hAnsi="宋体" w:eastAsia="宋体"/>
          <w:sz w:val="24"/>
        </w:rPr>
        <w:t>以数智化技术实现医院人、财、物、技术资源的科学配置、精细管理、有效使用。项目调研内容如下：</w:t>
      </w:r>
    </w:p>
    <w:tbl>
      <w:tblPr>
        <w:tblStyle w:val="6"/>
        <w:tblW w:w="9781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功能说明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全面预算管理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按照公立医院全面预算管理制度实施办法要求，以全面预算统筹医院资源投放决策，建立“全口径、全过程、全员参与、全方位”的全面预算管理体系，以预算为主线作用于医院经济运行过程，如费用报销、合同管理、资产管理、采购管理等业务，实时进行预算管控，业务部门和员工可以实时掌握预算执行情况，并合理使用预算额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费用报销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引入OCR智能识别技术、发票验真防重、移动APP等手段，建立医院资金支出的统一报账平台，</w:t>
            </w:r>
            <w:r>
              <w:rPr>
                <w:rFonts w:hint="eastAsia" w:eastAsia="宋体"/>
                <w:sz w:val="24"/>
                <w:szCs w:val="24"/>
              </w:rPr>
              <w:t>规范费用报销业务，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在高效报账的同时强化预算执行控制机制，可针对不同的费用项目采用不同的预算控制方式，</w:t>
            </w:r>
            <w:r>
              <w:rPr>
                <w:rFonts w:hint="eastAsia" w:eastAsia="宋体"/>
                <w:sz w:val="24"/>
                <w:szCs w:val="24"/>
              </w:rPr>
              <w:t>有效防范资金支付风险，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提高员工财务服务满意度；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科研及专项资金管理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搭建覆盖项目管理部门、财务部门及项目小组的信息共享平台，强化项目申报和审核程序、项目绩效管理、项目过程管理，优化医院项目预算管理流程，科学规范项目预算编制，以预算为导向建立外拨经费、配套经费的合理使用机制，实现项目全过程监管、规范经费业务流程、强化经费预算管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资金管理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实现资金集中管理、实时监控和对账为核心，构建快速、稳定、安全的资金管理体系，实现医院与银行间资金账务共享集中化；实时掌握医院资金流转情况，满足资金收付结算、调拨、对账、监控等业务需要和数据统计分析的需求，资金支付操作简便自动化，方便对账与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会计核算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按政府会计制度要求进行账务处理，强化经济业务与财务的一体化融合，如与HIS收入、材料、药品、资产、设备、薪酬等系统集成进行精细化核算，实现财务对医院经济运行全过程的跟踪、监督与分析，提高工作效率，解放财务人员生产力，以便花更多时间从事管理会计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成本核算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按照制度要求实现医院成本、医疗成本、科室成本、诊次成本、床日成本、作业成本、项目成本核算，并基于项目叠加法测算病种/DRG成本，为医院、科室、作业、项目、DRG/病种算一笔明白账，明晰成本构成情况并找到成本控制点，服务于医院经济运行分析、科室运营分析，辅助医院经济决策，指导临床业务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合同管理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将合同管理作为医院内控的重要抓手，覆盖合同草签、签订、保证金、履行、变更、违约、索赔、付款、中止、归档环节，实现合同管理全过程管理，并与预算管理相结合，实现收款合同/协议、付款合同/协议的精准管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资产管理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依托移动物联技术，实现医院资产全流程动态管理，包括资产购置计划、招标、合同、安装验收、入库、变动、付款、使用、变动、折旧到设备处置等全过程管理，以资产卡片为核心，完整记录资产档案，实时掌握资产运行动态，并与财务系统、成本管理系统、合同管理系统等子系统实现数据共享，协助医院理清家底、实时掌握资产动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物流管理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引入条码、二维码、UDI、智能耗材柜、移动APP等智能化手段，从供应链协同的角度实现医院内外部物流管理的协同共享，从采购、保管、核算、使用四个环节进行一体化物资管控，优化并固化医院物流管理业务流程，实现医院物资从科室请购、采购计划、验收入库、领用申请、库房调拨、二级库管理、科室使用、HIS计费到财务核算的全程追踪管理，强化收费材料使用追溯，有效应对医保飞行检查，优化非收费材料管理手段，进一步降低医院物耗成本比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人力资源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在优化人力资源管理工作流程、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人力资源归口管理基础上，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构建覆盖全院的人力资源协同管理平台，以人为主线整合员工信息，形成全口径人力画像，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实时掌握员工动态，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辅助人事决策。包括组织架构、招聘管理、人事档案、医生管理、护士管理、四生管理、合同管理、薪酬管理、保险福利、考勤排班、职称评审等业务应用；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领导决策支持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整合医院经济运行过程中的数据信息，通过数据清洗、转换、装载、业务建模和商业智能分析（BI）等技术，以可视化分析实时呈现关键运营指标、重点绩效指标以及日常监控指标，实现院级、科室级运营全景分析，辅助管理决策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移动运营管理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顺应当前移动互联网发展趋势，</w:t>
            </w:r>
            <w:r>
              <w:rPr>
                <w:rFonts w:ascii="宋体" w:hAnsi="宋体" w:eastAsia="宋体"/>
                <w:sz w:val="24"/>
                <w:szCs w:val="24"/>
              </w:rPr>
              <w:t>利用便捷的智能手机客户端，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将需要大量用户参与或者需要移动作业的场景移植到手机端</w:t>
            </w:r>
            <w:r>
              <w:rPr>
                <w:rFonts w:ascii="宋体" w:hAnsi="宋体" w:eastAsia="宋体"/>
                <w:sz w:val="24"/>
                <w:szCs w:val="24"/>
              </w:rPr>
              <w:t>，给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用户</w:t>
            </w:r>
            <w:r>
              <w:rPr>
                <w:rFonts w:ascii="宋体" w:hAnsi="宋体" w:eastAsia="宋体"/>
                <w:sz w:val="24"/>
                <w:szCs w:val="24"/>
              </w:rPr>
              <w:t>提供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一个移动</w:t>
            </w:r>
            <w:r>
              <w:rPr>
                <w:rFonts w:ascii="宋体" w:hAnsi="宋体" w:eastAsia="宋体"/>
                <w:sz w:val="24"/>
                <w:szCs w:val="24"/>
              </w:rPr>
              <w:t>业务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处理</w:t>
            </w:r>
            <w:r>
              <w:rPr>
                <w:rFonts w:ascii="宋体" w:hAnsi="宋体" w:eastAsia="宋体"/>
                <w:sz w:val="24"/>
                <w:szCs w:val="24"/>
              </w:rPr>
              <w:t>平台，实现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移动化管理，包括移动人事、移动报销、移动物流、移动资产管理等业务应用；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系统互联互通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与医院HIS、行政办公等异构系统集成，实现流程集成、数据共享，进一步消除信息孤岛。</w:t>
            </w:r>
          </w:p>
        </w:tc>
      </w:tr>
    </w:tbl>
    <w:p>
      <w:pPr>
        <w:spacing w:line="360" w:lineRule="auto"/>
      </w:pPr>
    </w:p>
    <w:sectPr>
      <w:type w:val="continuous"/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